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138B" w14:textId="2FEF1AFE" w:rsidR="00EA28D0" w:rsidRPr="000E7D15" w:rsidRDefault="00EA28D0" w:rsidP="00AE3DC5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360" w:right="13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14E79" w:rsidRPr="00214E79">
        <w:rPr>
          <w:rFonts w:ascii="Arial" w:hAnsi="Arial" w:cs="Arial"/>
          <w:bCs/>
          <w:spacing w:val="-3"/>
          <w:sz w:val="22"/>
          <w:szCs w:val="22"/>
        </w:rPr>
        <w:t>Electoral and Other Legislation (Accountability, Integrity and Other Matters) Amendment Bill 2019</w:t>
      </w: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 (the Bill) </w:t>
      </w:r>
      <w:r w:rsidR="00AE3DC5">
        <w:rPr>
          <w:rFonts w:ascii="Arial" w:hAnsi="Arial" w:cs="Arial"/>
          <w:bCs/>
          <w:spacing w:val="-3"/>
          <w:sz w:val="22"/>
          <w:szCs w:val="22"/>
        </w:rPr>
        <w:t>provides for</w:t>
      </w:r>
      <w:r w:rsidR="00AD26C7" w:rsidRPr="000E7D15">
        <w:rPr>
          <w:rFonts w:ascii="Arial" w:hAnsi="Arial" w:cs="Arial"/>
          <w:bCs/>
          <w:spacing w:val="-3"/>
          <w:sz w:val="22"/>
          <w:szCs w:val="22"/>
        </w:rPr>
        <w:t xml:space="preserve"> reforms to the State electoral system, including</w:t>
      </w:r>
      <w:r w:rsidRPr="000E7D15">
        <w:rPr>
          <w:rFonts w:ascii="Arial" w:hAnsi="Arial" w:cs="Arial"/>
          <w:bCs/>
          <w:spacing w:val="-3"/>
          <w:sz w:val="22"/>
          <w:szCs w:val="22"/>
        </w:rPr>
        <w:t>:</w:t>
      </w:r>
      <w:r w:rsidR="00AD26C7" w:rsidRPr="000E7D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2D4FE60" w14:textId="2033158B" w:rsidR="00B06EAB" w:rsidRPr="000E7D15" w:rsidRDefault="00AD26C7" w:rsidP="00AE3DC5">
      <w:pPr>
        <w:numPr>
          <w:ilvl w:val="0"/>
          <w:numId w:val="5"/>
        </w:numPr>
        <w:tabs>
          <w:tab w:val="num" w:pos="0"/>
        </w:tabs>
        <w:spacing w:before="120"/>
        <w:ind w:left="720" w:right="13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introduction of </w:t>
      </w:r>
      <w:r w:rsidR="00B06EAB" w:rsidRPr="000E7D15">
        <w:rPr>
          <w:rFonts w:ascii="Arial" w:hAnsi="Arial" w:cs="Arial"/>
          <w:bCs/>
          <w:spacing w:val="-3"/>
          <w:sz w:val="22"/>
          <w:szCs w:val="22"/>
        </w:rPr>
        <w:t xml:space="preserve">electoral expenditure caps </w:t>
      </w: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and donations caps </w:t>
      </w:r>
      <w:r w:rsidR="00B06EAB" w:rsidRPr="000E7D15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D32B67" w:rsidRPr="000E7D15">
        <w:rPr>
          <w:rFonts w:ascii="Arial" w:hAnsi="Arial" w:cs="Arial"/>
          <w:bCs/>
          <w:spacing w:val="-3"/>
          <w:sz w:val="22"/>
          <w:szCs w:val="22"/>
        </w:rPr>
        <w:t xml:space="preserve">registered </w:t>
      </w:r>
      <w:r w:rsidR="00B06EAB" w:rsidRPr="000E7D15">
        <w:rPr>
          <w:rFonts w:ascii="Arial" w:hAnsi="Arial" w:cs="Arial"/>
          <w:bCs/>
          <w:spacing w:val="-3"/>
          <w:sz w:val="22"/>
          <w:szCs w:val="22"/>
        </w:rPr>
        <w:t>political parties and their associated entities, candidates and third parties involved in electoral campaigning;</w:t>
      </w:r>
    </w:p>
    <w:p w14:paraId="42E579E3" w14:textId="636A28DE" w:rsidR="00AD26C7" w:rsidRPr="000E7D15" w:rsidRDefault="00283DAD" w:rsidP="00AE3DC5">
      <w:pPr>
        <w:numPr>
          <w:ilvl w:val="0"/>
          <w:numId w:val="5"/>
        </w:numPr>
        <w:tabs>
          <w:tab w:val="num" w:pos="0"/>
        </w:tabs>
        <w:spacing w:before="120"/>
        <w:ind w:left="720" w:right="13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increases to </w:t>
      </w:r>
      <w:r w:rsidR="00AD26C7" w:rsidRPr="000E7D15">
        <w:rPr>
          <w:rFonts w:ascii="Arial" w:hAnsi="Arial" w:cs="Arial"/>
          <w:bCs/>
          <w:spacing w:val="-3"/>
          <w:sz w:val="22"/>
          <w:szCs w:val="22"/>
        </w:rPr>
        <w:t xml:space="preserve">public </w:t>
      </w:r>
      <w:r w:rsidRPr="000E7D15">
        <w:rPr>
          <w:rFonts w:ascii="Arial" w:hAnsi="Arial" w:cs="Arial"/>
          <w:bCs/>
          <w:spacing w:val="-3"/>
          <w:sz w:val="22"/>
          <w:szCs w:val="22"/>
        </w:rPr>
        <w:t xml:space="preserve">election </w:t>
      </w:r>
      <w:r w:rsidR="00AD26C7" w:rsidRPr="000E7D15">
        <w:rPr>
          <w:rFonts w:ascii="Arial" w:hAnsi="Arial" w:cs="Arial"/>
          <w:bCs/>
          <w:spacing w:val="-3"/>
          <w:sz w:val="22"/>
          <w:szCs w:val="22"/>
        </w:rPr>
        <w:t xml:space="preserve">funding for </w:t>
      </w:r>
      <w:r w:rsidRPr="000E7D15">
        <w:rPr>
          <w:rFonts w:ascii="Arial" w:hAnsi="Arial" w:cs="Arial"/>
          <w:bCs/>
          <w:spacing w:val="-3"/>
          <w:sz w:val="22"/>
          <w:szCs w:val="22"/>
        </w:rPr>
        <w:t>registered political parties and candidates</w:t>
      </w:r>
      <w:r w:rsidR="00AD26C7" w:rsidRPr="000E7D15">
        <w:rPr>
          <w:rFonts w:ascii="Arial" w:hAnsi="Arial" w:cs="Arial"/>
          <w:bCs/>
          <w:spacing w:val="-3"/>
          <w:sz w:val="22"/>
          <w:szCs w:val="22"/>
        </w:rPr>
        <w:t>;</w:t>
      </w:r>
      <w:r w:rsidR="0056370F" w:rsidRPr="000E7D1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C3A5B42" w14:textId="74D96BAB" w:rsidR="000A1E2C" w:rsidRPr="005C45E0" w:rsidRDefault="000A1E2C" w:rsidP="00AE3DC5">
      <w:pPr>
        <w:numPr>
          <w:ilvl w:val="0"/>
          <w:numId w:val="5"/>
        </w:numPr>
        <w:tabs>
          <w:tab w:val="num" w:pos="0"/>
        </w:tabs>
        <w:spacing w:before="120"/>
        <w:ind w:left="720" w:right="13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C45E0">
        <w:rPr>
          <w:rFonts w:ascii="Arial" w:hAnsi="Arial" w:cs="Arial"/>
          <w:bCs/>
          <w:spacing w:val="-3"/>
          <w:sz w:val="22"/>
          <w:szCs w:val="22"/>
        </w:rPr>
        <w:t xml:space="preserve">an increase of </w:t>
      </w:r>
      <w:r w:rsidR="00893DF4" w:rsidRPr="005C45E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C45E0">
        <w:rPr>
          <w:rFonts w:ascii="Arial" w:hAnsi="Arial" w:cs="Arial"/>
          <w:bCs/>
          <w:spacing w:val="-3"/>
          <w:sz w:val="22"/>
          <w:szCs w:val="22"/>
        </w:rPr>
        <w:t>policy development funding pool from $3 million to $6 million</w:t>
      </w:r>
      <w:r w:rsidR="007831C7" w:rsidRPr="005C45E0">
        <w:rPr>
          <w:rFonts w:ascii="Arial" w:hAnsi="Arial" w:cs="Arial"/>
          <w:bCs/>
          <w:spacing w:val="-3"/>
          <w:sz w:val="22"/>
          <w:szCs w:val="22"/>
        </w:rPr>
        <w:t xml:space="preserve"> per financial year</w:t>
      </w:r>
      <w:r w:rsidRPr="005C45E0">
        <w:rPr>
          <w:rFonts w:ascii="Arial" w:hAnsi="Arial" w:cs="Arial"/>
          <w:bCs/>
          <w:spacing w:val="-3"/>
          <w:sz w:val="22"/>
          <w:szCs w:val="22"/>
        </w:rPr>
        <w:t xml:space="preserve">, a change to the formula for the </w:t>
      </w:r>
      <w:r w:rsidR="002000BE" w:rsidRPr="005C45E0">
        <w:rPr>
          <w:rFonts w:ascii="Arial" w:hAnsi="Arial" w:cs="Arial"/>
          <w:bCs/>
          <w:spacing w:val="-3"/>
          <w:sz w:val="22"/>
          <w:szCs w:val="22"/>
        </w:rPr>
        <w:t>distribution</w:t>
      </w:r>
      <w:r w:rsidRPr="005C45E0">
        <w:rPr>
          <w:rFonts w:ascii="Arial" w:hAnsi="Arial" w:cs="Arial"/>
          <w:bCs/>
          <w:spacing w:val="-3"/>
          <w:sz w:val="22"/>
          <w:szCs w:val="22"/>
        </w:rPr>
        <w:t xml:space="preserve"> of the funding pool to take into account seats won in addition to first preference votes</w:t>
      </w:r>
      <w:r w:rsidR="00893DF4" w:rsidRPr="005C45E0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Pr="005C45E0">
        <w:rPr>
          <w:rFonts w:ascii="Arial" w:hAnsi="Arial" w:cs="Arial"/>
          <w:bCs/>
          <w:spacing w:val="-3"/>
          <w:sz w:val="22"/>
          <w:szCs w:val="22"/>
        </w:rPr>
        <w:t xml:space="preserve">making independent members eligible to receive a proportion of </w:t>
      </w:r>
      <w:r w:rsidR="00893DF4" w:rsidRPr="005C45E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C45E0">
        <w:rPr>
          <w:rFonts w:ascii="Arial" w:hAnsi="Arial" w:cs="Arial"/>
          <w:bCs/>
          <w:spacing w:val="-3"/>
          <w:sz w:val="22"/>
          <w:szCs w:val="22"/>
        </w:rPr>
        <w:t>funding pool;</w:t>
      </w:r>
    </w:p>
    <w:p w14:paraId="7C91893D" w14:textId="2E72FE20" w:rsidR="00F15404" w:rsidRPr="005C45E0" w:rsidRDefault="00B06EAB" w:rsidP="00AE3DC5">
      <w:pPr>
        <w:numPr>
          <w:ilvl w:val="0"/>
          <w:numId w:val="5"/>
        </w:numPr>
        <w:tabs>
          <w:tab w:val="num" w:pos="0"/>
        </w:tabs>
        <w:spacing w:before="120"/>
        <w:ind w:left="720" w:right="13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C45E0">
        <w:rPr>
          <w:rFonts w:ascii="Arial" w:hAnsi="Arial" w:cs="Arial"/>
          <w:bCs/>
          <w:spacing w:val="-3"/>
          <w:sz w:val="22"/>
          <w:szCs w:val="22"/>
        </w:rPr>
        <w:t xml:space="preserve">other measures necessary to support the new funding and disclosure arrangements, including </w:t>
      </w:r>
      <w:r w:rsidR="00AD26C7" w:rsidRPr="005C45E0">
        <w:rPr>
          <w:rFonts w:ascii="Arial" w:hAnsi="Arial" w:cs="Arial"/>
          <w:bCs/>
          <w:spacing w:val="-3"/>
          <w:sz w:val="22"/>
          <w:szCs w:val="22"/>
        </w:rPr>
        <w:t xml:space="preserve">requirements for dedicated State campaign accounts, </w:t>
      </w:r>
      <w:r w:rsidRPr="005C45E0">
        <w:rPr>
          <w:rFonts w:ascii="Arial" w:hAnsi="Arial" w:cs="Arial"/>
          <w:bCs/>
          <w:spacing w:val="-3"/>
          <w:sz w:val="22"/>
          <w:szCs w:val="22"/>
        </w:rPr>
        <w:t>registration requirements for third parties and clarification of accountabilities of agents and electoral participants</w:t>
      </w:r>
      <w:r w:rsidR="00F15404" w:rsidRPr="005C45E0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035A23FF" w14:textId="79A98BF9" w:rsidR="0056370F" w:rsidRPr="00107348" w:rsidRDefault="00DB655A" w:rsidP="00AE3DC5">
      <w:pPr>
        <w:numPr>
          <w:ilvl w:val="0"/>
          <w:numId w:val="5"/>
        </w:numPr>
        <w:tabs>
          <w:tab w:val="num" w:pos="0"/>
        </w:tabs>
        <w:spacing w:before="120"/>
        <w:ind w:left="720" w:right="139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creation of </w:t>
      </w:r>
      <w:r w:rsidR="00F15404" w:rsidRPr="00107348">
        <w:rPr>
          <w:rFonts w:ascii="Arial" w:hAnsi="Arial" w:cs="Arial"/>
          <w:bCs/>
          <w:spacing w:val="-3"/>
          <w:sz w:val="22"/>
          <w:szCs w:val="22"/>
        </w:rPr>
        <w:t>new offences capturing deliberate and intentional dishonesty by Ministers in failing to disclose a conflict of interest to the appropriate body (Cabinet, a Cabinet sub-committee or the Premier) and failing to register an interest on the Registers of Interests where they intend to gain a benefit</w:t>
      </w:r>
      <w:r w:rsidR="00107348" w:rsidRPr="00107348">
        <w:rPr>
          <w:rFonts w:ascii="Arial" w:hAnsi="Arial" w:cs="Arial"/>
          <w:bCs/>
          <w:spacing w:val="-3"/>
          <w:sz w:val="22"/>
          <w:szCs w:val="22"/>
        </w:rPr>
        <w:t xml:space="preserve"> or cause a detriment to another</w:t>
      </w:r>
      <w:r w:rsidR="00F15404" w:rsidRPr="00107348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56E8BB7" w14:textId="786BD2BA" w:rsidR="00371979" w:rsidRPr="005C45E0" w:rsidRDefault="00371979" w:rsidP="00AE3DC5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360" w:right="139"/>
        <w:jc w:val="both"/>
        <w:rPr>
          <w:rFonts w:ascii="Arial" w:hAnsi="Arial" w:cs="Arial"/>
          <w:sz w:val="22"/>
          <w:szCs w:val="22"/>
        </w:rPr>
      </w:pPr>
      <w:r w:rsidRPr="00743F4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="00214E79" w:rsidRPr="00214E79">
        <w:rPr>
          <w:rFonts w:ascii="Arial" w:hAnsi="Arial" w:cs="Arial"/>
          <w:sz w:val="22"/>
          <w:szCs w:val="22"/>
        </w:rPr>
        <w:t>Electoral and Other Legislation (Accountability, Integrity and Other Matters) Amendment Bill 2019</w:t>
      </w:r>
      <w:r>
        <w:rPr>
          <w:rFonts w:ascii="Arial" w:hAnsi="Arial" w:cs="Arial"/>
          <w:sz w:val="22"/>
          <w:szCs w:val="22"/>
        </w:rPr>
        <w:t xml:space="preserve"> into the Legislative Assembly.</w:t>
      </w:r>
      <w:r w:rsidRPr="005C45E0">
        <w:rPr>
          <w:rFonts w:ascii="Arial" w:hAnsi="Arial" w:cs="Arial"/>
          <w:sz w:val="22"/>
          <w:szCs w:val="22"/>
        </w:rPr>
        <w:t xml:space="preserve"> </w:t>
      </w:r>
    </w:p>
    <w:p w14:paraId="7C3A0944" w14:textId="77777777" w:rsidR="00EA28D0" w:rsidRPr="00371979" w:rsidRDefault="00EA28D0" w:rsidP="00AE3DC5">
      <w:pPr>
        <w:numPr>
          <w:ilvl w:val="0"/>
          <w:numId w:val="1"/>
        </w:numPr>
        <w:tabs>
          <w:tab w:val="clear" w:pos="720"/>
          <w:tab w:val="num" w:pos="0"/>
        </w:tabs>
        <w:spacing w:before="360"/>
        <w:ind w:left="360" w:right="139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371979">
        <w:rPr>
          <w:rFonts w:ascii="Arial" w:hAnsi="Arial" w:cs="Arial"/>
          <w:bCs/>
          <w:i/>
          <w:spacing w:val="-3"/>
          <w:sz w:val="22"/>
          <w:szCs w:val="22"/>
          <w:u w:val="single"/>
        </w:rPr>
        <w:t xml:space="preserve">Attachments </w:t>
      </w:r>
    </w:p>
    <w:p w14:paraId="1CB2AA9C" w14:textId="0A8C015C" w:rsidR="00214E79" w:rsidRDefault="0009261D" w:rsidP="00AE3DC5">
      <w:pPr>
        <w:pStyle w:val="ListParagraph"/>
        <w:numPr>
          <w:ilvl w:val="0"/>
          <w:numId w:val="10"/>
        </w:numPr>
        <w:spacing w:before="120"/>
        <w:ind w:right="139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B655A" w:rsidRPr="00C02615">
          <w:rPr>
            <w:rStyle w:val="Hyperlink"/>
            <w:rFonts w:ascii="Arial" w:hAnsi="Arial" w:cs="Arial"/>
            <w:sz w:val="22"/>
            <w:szCs w:val="22"/>
          </w:rPr>
          <w:t>Electoral and Other Legislation (Accountability, Integrity and Other Matters) Amendment Bill 2019</w:t>
        </w:r>
      </w:hyperlink>
    </w:p>
    <w:p w14:paraId="532B5D9A" w14:textId="0F362412" w:rsidR="00EA28D0" w:rsidRPr="00614FB4" w:rsidRDefault="0009261D" w:rsidP="00AE3DC5">
      <w:pPr>
        <w:pStyle w:val="ListParagraph"/>
        <w:numPr>
          <w:ilvl w:val="0"/>
          <w:numId w:val="10"/>
        </w:numPr>
        <w:spacing w:before="120"/>
        <w:ind w:left="714" w:right="142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hyperlink r:id="rId11" w:history="1">
        <w:r w:rsidR="00EA28D0" w:rsidRPr="00C0261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A28D0" w:rsidRPr="00614FB4" w:rsidSect="004251DB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326BA" w14:textId="77777777" w:rsidR="00E47752" w:rsidRDefault="00E47752" w:rsidP="00D6589B">
      <w:r>
        <w:separator/>
      </w:r>
    </w:p>
  </w:endnote>
  <w:endnote w:type="continuationSeparator" w:id="0">
    <w:p w14:paraId="4F1740F3" w14:textId="77777777" w:rsidR="00E47752" w:rsidRDefault="00E4775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BA7B1" w14:textId="77777777" w:rsidR="00E47752" w:rsidRDefault="00E47752" w:rsidP="00D6589B">
      <w:r>
        <w:separator/>
      </w:r>
    </w:p>
  </w:footnote>
  <w:footnote w:type="continuationSeparator" w:id="0">
    <w:p w14:paraId="267EFDC5" w14:textId="77777777" w:rsidR="00E47752" w:rsidRDefault="00E4775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40B0" w14:textId="77777777" w:rsidR="009F4C5F" w:rsidRPr="00937A4A" w:rsidRDefault="009F4C5F" w:rsidP="009F4C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78F914D" w14:textId="77777777" w:rsidR="009F4C5F" w:rsidRPr="00937A4A" w:rsidRDefault="009F4C5F" w:rsidP="009F4C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9C6305C" w14:textId="318310C1" w:rsidR="009F4C5F" w:rsidRPr="00937A4A" w:rsidRDefault="009F4C5F" w:rsidP="009F4C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1339F6CB" w14:textId="4B28FC04" w:rsidR="009F4C5F" w:rsidRDefault="009F4C5F" w:rsidP="009F4C5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Electoral and Other Legislation (Accountability, Integrity and Other Matters) Amendment Bill 2019</w:t>
    </w:r>
  </w:p>
  <w:p w14:paraId="31BD7428" w14:textId="47AADFE6" w:rsidR="009F4C5F" w:rsidRDefault="009F4C5F" w:rsidP="009F4C5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</w:t>
    </w:r>
    <w:r w:rsidR="007818CA">
      <w:rPr>
        <w:rFonts w:ascii="Arial" w:hAnsi="Arial" w:cs="Arial"/>
        <w:b/>
        <w:sz w:val="22"/>
        <w:szCs w:val="22"/>
        <w:u w:val="single"/>
      </w:rPr>
      <w:t xml:space="preserve">-General and </w:t>
    </w:r>
    <w:r>
      <w:rPr>
        <w:rFonts w:ascii="Arial" w:hAnsi="Arial" w:cs="Arial"/>
        <w:b/>
        <w:sz w:val="22"/>
        <w:szCs w:val="22"/>
        <w:u w:val="single"/>
      </w:rPr>
      <w:t>Minister</w:t>
    </w:r>
    <w:r w:rsidR="007818CA">
      <w:rPr>
        <w:rFonts w:ascii="Arial" w:hAnsi="Arial" w:cs="Arial"/>
        <w:b/>
        <w:sz w:val="22"/>
        <w:szCs w:val="22"/>
        <w:u w:val="single"/>
      </w:rPr>
      <w:t xml:space="preserve"> for Justice and </w:t>
    </w:r>
    <w:r w:rsidR="00EB29B0">
      <w:rPr>
        <w:rFonts w:ascii="Arial" w:hAnsi="Arial" w:cs="Arial"/>
        <w:b/>
        <w:sz w:val="22"/>
        <w:szCs w:val="22"/>
        <w:u w:val="single"/>
      </w:rPr>
      <w:t>Leader of the House</w:t>
    </w:r>
  </w:p>
  <w:p w14:paraId="4C1DF507" w14:textId="77777777" w:rsidR="009F4C5F" w:rsidRDefault="009F4C5F" w:rsidP="009F4C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15825"/>
    <w:multiLevelType w:val="hybridMultilevel"/>
    <w:tmpl w:val="F252B9D6"/>
    <w:lvl w:ilvl="0" w:tplc="278A1CE6">
      <w:start w:val="1"/>
      <w:numFmt w:val="decimal"/>
      <w:lvlText w:val="%1."/>
      <w:lvlJc w:val="left"/>
      <w:pPr>
        <w:ind w:left="720" w:hanging="72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F19C2"/>
    <w:multiLevelType w:val="hybridMultilevel"/>
    <w:tmpl w:val="C9AAF66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4056D4"/>
    <w:multiLevelType w:val="hybridMultilevel"/>
    <w:tmpl w:val="8B5E3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573F"/>
    <w:multiLevelType w:val="hybridMultilevel"/>
    <w:tmpl w:val="8D9E8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52F6F"/>
    <w:multiLevelType w:val="hybridMultilevel"/>
    <w:tmpl w:val="08085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131C854A"/>
    <w:lvl w:ilvl="0" w:tplc="00287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9261D"/>
    <w:rsid w:val="000A1E2C"/>
    <w:rsid w:val="000A407A"/>
    <w:rsid w:val="000E7D15"/>
    <w:rsid w:val="000F014D"/>
    <w:rsid w:val="0010384C"/>
    <w:rsid w:val="00107348"/>
    <w:rsid w:val="00132318"/>
    <w:rsid w:val="00136B28"/>
    <w:rsid w:val="00150595"/>
    <w:rsid w:val="00152095"/>
    <w:rsid w:val="00174117"/>
    <w:rsid w:val="001969CB"/>
    <w:rsid w:val="002000BE"/>
    <w:rsid w:val="002064F7"/>
    <w:rsid w:val="00211ECE"/>
    <w:rsid w:val="00214E79"/>
    <w:rsid w:val="00247406"/>
    <w:rsid w:val="00270FCF"/>
    <w:rsid w:val="00280DCA"/>
    <w:rsid w:val="00283DAD"/>
    <w:rsid w:val="002924E9"/>
    <w:rsid w:val="002A63FC"/>
    <w:rsid w:val="002C40F6"/>
    <w:rsid w:val="003353C6"/>
    <w:rsid w:val="0034156D"/>
    <w:rsid w:val="00370C83"/>
    <w:rsid w:val="00371979"/>
    <w:rsid w:val="00373939"/>
    <w:rsid w:val="00376DCD"/>
    <w:rsid w:val="00377958"/>
    <w:rsid w:val="00390BA4"/>
    <w:rsid w:val="00390FC0"/>
    <w:rsid w:val="003A3BDD"/>
    <w:rsid w:val="004251DB"/>
    <w:rsid w:val="0043543B"/>
    <w:rsid w:val="004D6372"/>
    <w:rsid w:val="00501C66"/>
    <w:rsid w:val="005225BA"/>
    <w:rsid w:val="0053314F"/>
    <w:rsid w:val="00550873"/>
    <w:rsid w:val="0056370F"/>
    <w:rsid w:val="00563C6A"/>
    <w:rsid w:val="005A34D6"/>
    <w:rsid w:val="005C0939"/>
    <w:rsid w:val="005C45E0"/>
    <w:rsid w:val="005E5ECD"/>
    <w:rsid w:val="00614FB4"/>
    <w:rsid w:val="006251F0"/>
    <w:rsid w:val="00642E38"/>
    <w:rsid w:val="006612B3"/>
    <w:rsid w:val="0066730A"/>
    <w:rsid w:val="007265D0"/>
    <w:rsid w:val="00732E22"/>
    <w:rsid w:val="00741C20"/>
    <w:rsid w:val="00742FB3"/>
    <w:rsid w:val="00743F4D"/>
    <w:rsid w:val="00745AA8"/>
    <w:rsid w:val="00753C19"/>
    <w:rsid w:val="007818CA"/>
    <w:rsid w:val="007831C7"/>
    <w:rsid w:val="007F44F4"/>
    <w:rsid w:val="00834CC6"/>
    <w:rsid w:val="00893DF4"/>
    <w:rsid w:val="00904077"/>
    <w:rsid w:val="00937A4A"/>
    <w:rsid w:val="009B4EF7"/>
    <w:rsid w:val="009C38B0"/>
    <w:rsid w:val="009D42F4"/>
    <w:rsid w:val="009E70FF"/>
    <w:rsid w:val="009E72EA"/>
    <w:rsid w:val="009F4C5F"/>
    <w:rsid w:val="00A662CF"/>
    <w:rsid w:val="00A83452"/>
    <w:rsid w:val="00A843C1"/>
    <w:rsid w:val="00AD26C7"/>
    <w:rsid w:val="00AE3DC5"/>
    <w:rsid w:val="00B06EAB"/>
    <w:rsid w:val="00B07B7D"/>
    <w:rsid w:val="00B22819"/>
    <w:rsid w:val="00B23AA8"/>
    <w:rsid w:val="00B71D1D"/>
    <w:rsid w:val="00B95A06"/>
    <w:rsid w:val="00BD5FF6"/>
    <w:rsid w:val="00C02615"/>
    <w:rsid w:val="00C10247"/>
    <w:rsid w:val="00C75E67"/>
    <w:rsid w:val="00CA405B"/>
    <w:rsid w:val="00CB1501"/>
    <w:rsid w:val="00CD7A50"/>
    <w:rsid w:val="00CF0D8A"/>
    <w:rsid w:val="00D32B67"/>
    <w:rsid w:val="00D36F02"/>
    <w:rsid w:val="00D6589B"/>
    <w:rsid w:val="00DB655A"/>
    <w:rsid w:val="00DE4903"/>
    <w:rsid w:val="00DF22FF"/>
    <w:rsid w:val="00E461D8"/>
    <w:rsid w:val="00E47752"/>
    <w:rsid w:val="00E76416"/>
    <w:rsid w:val="00EA28D0"/>
    <w:rsid w:val="00EB29B0"/>
    <w:rsid w:val="00F15404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A0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8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E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BA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BA4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C02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FE6B2-20A4-4BBC-BD6C-C691C7B5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42</TotalTime>
  <Pages>1</Pages>
  <Words>241</Words>
  <Characters>1457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1700</CharactersWithSpaces>
  <SharedDoc>false</SharedDoc>
  <HyperlinkBase>https://www.cabinet.qld.gov.au/documents/2019/Nov/ElecBill/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17</cp:revision>
  <cp:lastPrinted>2020-01-07T02:01:00Z</cp:lastPrinted>
  <dcterms:created xsi:type="dcterms:W3CDTF">2020-01-03T06:36:00Z</dcterms:created>
  <dcterms:modified xsi:type="dcterms:W3CDTF">2020-08-11T02:44:00Z</dcterms:modified>
  <cp:category>Legislation,Electoral,Integrity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